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1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2"/>
        <w:gridCol w:w="7088"/>
      </w:tblGrid>
      <w:tr w:rsidR="00865BDA" w14:paraId="510CCEA7" w14:textId="77777777" w:rsidTr="00471332">
        <w:trPr>
          <w:trHeight w:val="1699"/>
        </w:trPr>
        <w:tc>
          <w:tcPr>
            <w:tcW w:w="2522" w:type="dxa"/>
            <w:vAlign w:val="center"/>
          </w:tcPr>
          <w:p w14:paraId="4DA5C524" w14:textId="19CB5293" w:rsidR="00865BDA" w:rsidRDefault="00E44D3F" w:rsidP="00376CBD">
            <w:pPr>
              <w:ind w:left="-142"/>
            </w:pPr>
            <w:r>
              <w:rPr>
                <w:noProof/>
              </w:rPr>
              <w:drawing>
                <wp:anchor distT="0" distB="0" distL="114300" distR="114300" simplePos="0" relativeHeight="251658240" behindDoc="1" locked="0" layoutInCell="1" allowOverlap="1" wp14:anchorId="1E56ED19" wp14:editId="543F41C7">
                  <wp:simplePos x="0" y="0"/>
                  <wp:positionH relativeFrom="margin">
                    <wp:posOffset>-40640</wp:posOffset>
                  </wp:positionH>
                  <wp:positionV relativeFrom="margin">
                    <wp:posOffset>38100</wp:posOffset>
                  </wp:positionV>
                  <wp:extent cx="1499235" cy="914400"/>
                  <wp:effectExtent l="0" t="0" r="0" b="0"/>
                  <wp:wrapThrough wrapText="bothSides">
                    <wp:wrapPolygon edited="0">
                      <wp:start x="0" y="0"/>
                      <wp:lineTo x="0" y="21150"/>
                      <wp:lineTo x="21408" y="21150"/>
                      <wp:lineTo x="21408" y="0"/>
                      <wp:lineTo x="0" y="0"/>
                    </wp:wrapPolygon>
                  </wp:wrapThrough>
                  <wp:docPr id="1" name="Picture 1" descr="knowsley_logo_201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sley_logo_2010_rgb.jpg"/>
                          <pic:cNvPicPr>
                            <a:picLocks noChangeAspect="1" noChangeArrowheads="1"/>
                          </pic:cNvPicPr>
                        </pic:nvPicPr>
                        <pic:blipFill>
                          <a:blip r:embed="rId6">
                            <a:extLst>
                              <a:ext uri="{28A0092B-C50C-407E-A947-70E740481C1C}">
                                <a14:useLocalDpi xmlns:a14="http://schemas.microsoft.com/office/drawing/2010/main" val="0"/>
                              </a:ext>
                            </a:extLst>
                          </a:blip>
                          <a:srcRect l="12346" t="12962" r="11728" b="17593"/>
                          <a:stretch>
                            <a:fillRect/>
                          </a:stretch>
                        </pic:blipFill>
                        <pic:spPr bwMode="auto">
                          <a:xfrm>
                            <a:off x="0" y="0"/>
                            <a:ext cx="149923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88D3BC" w14:textId="77777777" w:rsidR="00865BDA" w:rsidRDefault="00865BDA" w:rsidP="00376CBD">
            <w:pPr>
              <w:jc w:val="center"/>
            </w:pPr>
          </w:p>
          <w:p w14:paraId="7B2FD572" w14:textId="77777777" w:rsidR="00865BDA" w:rsidRDefault="00865BDA" w:rsidP="00376CBD">
            <w:pPr>
              <w:jc w:val="center"/>
              <w:rPr>
                <w:sz w:val="16"/>
              </w:rPr>
            </w:pPr>
          </w:p>
        </w:tc>
        <w:tc>
          <w:tcPr>
            <w:tcW w:w="7088" w:type="dxa"/>
            <w:vAlign w:val="center"/>
          </w:tcPr>
          <w:p w14:paraId="751C63E2" w14:textId="77777777" w:rsidR="00865BDA" w:rsidRPr="00645583" w:rsidRDefault="00865BDA" w:rsidP="00376CBD">
            <w:pPr>
              <w:pStyle w:val="Heading2"/>
              <w:jc w:val="center"/>
              <w:rPr>
                <w:rFonts w:cs="Arial"/>
                <w:b/>
                <w:sz w:val="24"/>
                <w:szCs w:val="24"/>
              </w:rPr>
            </w:pPr>
          </w:p>
          <w:p w14:paraId="5D30BD7A" w14:textId="77777777" w:rsidR="00865BDA" w:rsidRDefault="00865BDA" w:rsidP="00376CBD">
            <w:pPr>
              <w:pStyle w:val="Heading2"/>
              <w:jc w:val="center"/>
              <w:rPr>
                <w:rFonts w:cs="Arial"/>
                <w:b/>
                <w:sz w:val="24"/>
                <w:szCs w:val="24"/>
              </w:rPr>
            </w:pPr>
          </w:p>
          <w:p w14:paraId="31E1CC36" w14:textId="77777777" w:rsidR="00865BDA" w:rsidRPr="00645583" w:rsidRDefault="00865BDA" w:rsidP="00376CBD">
            <w:pPr>
              <w:pStyle w:val="Heading2"/>
              <w:jc w:val="center"/>
              <w:rPr>
                <w:rFonts w:cs="Arial"/>
                <w:b/>
                <w:sz w:val="24"/>
                <w:szCs w:val="24"/>
              </w:rPr>
            </w:pPr>
            <w:r w:rsidRPr="00645583">
              <w:rPr>
                <w:rFonts w:cs="Arial"/>
                <w:b/>
                <w:sz w:val="24"/>
                <w:szCs w:val="24"/>
              </w:rPr>
              <w:t>Planning Consultation Response</w:t>
            </w:r>
          </w:p>
          <w:p w14:paraId="3E63F3C2" w14:textId="77777777" w:rsidR="00865BDA" w:rsidRPr="00645583" w:rsidRDefault="00865BDA" w:rsidP="00376CBD">
            <w:pPr>
              <w:jc w:val="center"/>
              <w:rPr>
                <w:b/>
              </w:rPr>
            </w:pPr>
          </w:p>
          <w:p w14:paraId="1B8B1F89" w14:textId="77777777" w:rsidR="00865BDA" w:rsidRPr="00645583" w:rsidRDefault="00865BDA" w:rsidP="00376CBD">
            <w:pPr>
              <w:jc w:val="center"/>
              <w:rPr>
                <w:b/>
              </w:rPr>
            </w:pPr>
            <w:r w:rsidRPr="00645583">
              <w:rPr>
                <w:b/>
              </w:rPr>
              <w:t>Environmental Health and</w:t>
            </w:r>
          </w:p>
          <w:p w14:paraId="43459E3D" w14:textId="77777777" w:rsidR="00865BDA" w:rsidRPr="00645583" w:rsidRDefault="00865BDA" w:rsidP="00376CBD">
            <w:pPr>
              <w:jc w:val="center"/>
              <w:rPr>
                <w:b/>
              </w:rPr>
            </w:pPr>
            <w:r w:rsidRPr="00645583">
              <w:rPr>
                <w:b/>
              </w:rPr>
              <w:t>Consumer Protection Service</w:t>
            </w:r>
          </w:p>
          <w:p w14:paraId="60D47156" w14:textId="77777777" w:rsidR="00865BDA" w:rsidRPr="00645583" w:rsidRDefault="00865BDA" w:rsidP="00865BDA">
            <w:pPr>
              <w:jc w:val="center"/>
              <w:rPr>
                <w:b/>
              </w:rPr>
            </w:pPr>
          </w:p>
        </w:tc>
      </w:tr>
    </w:tbl>
    <w:p w14:paraId="7360B169" w14:textId="77777777" w:rsidR="00320634" w:rsidRDefault="00320634" w:rsidP="00865BDA"/>
    <w:tbl>
      <w:tblPr>
        <w:tblW w:w="961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2"/>
        <w:gridCol w:w="3119"/>
        <w:gridCol w:w="3973"/>
      </w:tblGrid>
      <w:tr w:rsidR="00865BDA" w14:paraId="4A8CCE18" w14:textId="77777777" w:rsidTr="00471332">
        <w:trPr>
          <w:trHeight w:val="350"/>
        </w:trPr>
        <w:tc>
          <w:tcPr>
            <w:tcW w:w="2522" w:type="dxa"/>
            <w:hideMark/>
          </w:tcPr>
          <w:p w14:paraId="5F82F3B1" w14:textId="77777777" w:rsidR="00865BDA" w:rsidRDefault="00865BDA" w:rsidP="00376CBD">
            <w:pPr>
              <w:pStyle w:val="Header"/>
              <w:tabs>
                <w:tab w:val="left" w:pos="720"/>
              </w:tabs>
              <w:spacing w:before="60" w:after="60"/>
              <w:rPr>
                <w:rFonts w:ascii="Arial" w:hAnsi="Arial" w:cs="Arial"/>
                <w:szCs w:val="22"/>
              </w:rPr>
            </w:pPr>
            <w:r>
              <w:rPr>
                <w:rFonts w:ascii="Arial" w:hAnsi="Arial" w:cs="Arial"/>
                <w:sz w:val="22"/>
                <w:szCs w:val="22"/>
              </w:rPr>
              <w:t>To:</w:t>
            </w:r>
          </w:p>
        </w:tc>
        <w:tc>
          <w:tcPr>
            <w:tcW w:w="7092" w:type="dxa"/>
            <w:gridSpan w:val="2"/>
            <w:vAlign w:val="center"/>
            <w:hideMark/>
          </w:tcPr>
          <w:p w14:paraId="3DCBB288" w14:textId="77777777" w:rsidR="00865BDA" w:rsidRDefault="00865BDA" w:rsidP="00865BDA">
            <w:pPr>
              <w:pStyle w:val="Header"/>
              <w:tabs>
                <w:tab w:val="left" w:pos="720"/>
              </w:tabs>
              <w:spacing w:before="60" w:after="60"/>
              <w:rPr>
                <w:rFonts w:ascii="Arial" w:hAnsi="Arial" w:cs="Arial"/>
                <w:szCs w:val="22"/>
              </w:rPr>
            </w:pPr>
            <w:r>
              <w:rPr>
                <w:rFonts w:ascii="Arial" w:hAnsi="Arial" w:cs="Arial"/>
                <w:sz w:val="22"/>
                <w:szCs w:val="22"/>
              </w:rPr>
              <w:t xml:space="preserve">Planning Services </w:t>
            </w:r>
            <w:r w:rsidRPr="00865BDA">
              <w:rPr>
                <w:rFonts w:ascii="Arial" w:hAnsi="Arial" w:cs="Arial"/>
                <w:color w:val="000000" w:themeColor="text1"/>
                <w:sz w:val="22"/>
                <w:szCs w:val="22"/>
              </w:rPr>
              <w:t>(Planning)</w:t>
            </w:r>
          </w:p>
        </w:tc>
      </w:tr>
      <w:tr w:rsidR="00865BDA" w14:paraId="49D71F2D" w14:textId="77777777" w:rsidTr="00471332">
        <w:trPr>
          <w:trHeight w:val="350"/>
        </w:trPr>
        <w:tc>
          <w:tcPr>
            <w:tcW w:w="2522" w:type="dxa"/>
            <w:hideMark/>
          </w:tcPr>
          <w:p w14:paraId="16CB3B86" w14:textId="77777777" w:rsidR="00865BDA" w:rsidRDefault="00865BDA" w:rsidP="00376CBD">
            <w:pPr>
              <w:pStyle w:val="Header"/>
              <w:tabs>
                <w:tab w:val="left" w:pos="720"/>
              </w:tabs>
              <w:spacing w:before="60" w:after="60"/>
              <w:rPr>
                <w:rFonts w:ascii="Arial" w:hAnsi="Arial" w:cs="Arial"/>
                <w:szCs w:val="22"/>
              </w:rPr>
            </w:pPr>
            <w:r>
              <w:rPr>
                <w:rFonts w:ascii="Arial" w:hAnsi="Arial" w:cs="Arial"/>
                <w:sz w:val="22"/>
                <w:szCs w:val="22"/>
              </w:rPr>
              <w:t>From:</w:t>
            </w:r>
          </w:p>
        </w:tc>
        <w:tc>
          <w:tcPr>
            <w:tcW w:w="7092" w:type="dxa"/>
            <w:gridSpan w:val="2"/>
            <w:vAlign w:val="center"/>
            <w:hideMark/>
          </w:tcPr>
          <w:p w14:paraId="0DB73E21" w14:textId="77777777" w:rsidR="00865BDA" w:rsidRDefault="00865BDA" w:rsidP="00865BDA">
            <w:pPr>
              <w:pStyle w:val="Header"/>
              <w:tabs>
                <w:tab w:val="left" w:pos="720"/>
              </w:tabs>
              <w:spacing w:before="60" w:after="60"/>
              <w:rPr>
                <w:rFonts w:ascii="Arial" w:hAnsi="Arial" w:cs="Arial"/>
                <w:szCs w:val="22"/>
              </w:rPr>
            </w:pPr>
            <w:r>
              <w:rPr>
                <w:rFonts w:ascii="Arial" w:hAnsi="Arial" w:cs="Arial"/>
                <w:bCs/>
                <w:sz w:val="22"/>
                <w:szCs w:val="22"/>
              </w:rPr>
              <w:t xml:space="preserve">Environmental Health &amp; Consumer Protection </w:t>
            </w:r>
            <w:r w:rsidRPr="003844E7">
              <w:rPr>
                <w:rFonts w:ascii="Arial" w:hAnsi="Arial" w:cs="Arial"/>
                <w:bCs/>
                <w:color w:val="000000" w:themeColor="text1"/>
                <w:sz w:val="22"/>
                <w:szCs w:val="22"/>
              </w:rPr>
              <w:t>(</w:t>
            </w:r>
            <w:r w:rsidRPr="003844E7">
              <w:rPr>
                <w:rFonts w:ascii="Arial" w:hAnsi="Arial" w:cs="Arial"/>
                <w:bCs/>
                <w:iCs/>
                <w:color w:val="000000" w:themeColor="text1"/>
                <w:sz w:val="22"/>
                <w:szCs w:val="22"/>
              </w:rPr>
              <w:t>Ian Gaskell)</w:t>
            </w:r>
          </w:p>
        </w:tc>
      </w:tr>
      <w:tr w:rsidR="006411AF" w14:paraId="0ED1B357" w14:textId="77777777" w:rsidTr="00471332">
        <w:tc>
          <w:tcPr>
            <w:tcW w:w="2522" w:type="dxa"/>
            <w:hideMark/>
          </w:tcPr>
          <w:p w14:paraId="5CD3DB1C" w14:textId="77777777" w:rsidR="006411AF" w:rsidRDefault="006411AF" w:rsidP="00376CBD">
            <w:pPr>
              <w:pStyle w:val="Header"/>
              <w:tabs>
                <w:tab w:val="left" w:pos="720"/>
              </w:tabs>
              <w:spacing w:before="60" w:after="60"/>
              <w:rPr>
                <w:rFonts w:ascii="Arial" w:hAnsi="Arial" w:cs="Arial"/>
                <w:szCs w:val="22"/>
              </w:rPr>
            </w:pPr>
            <w:r>
              <w:rPr>
                <w:rFonts w:ascii="Arial" w:hAnsi="Arial" w:cs="Arial"/>
                <w:sz w:val="22"/>
                <w:szCs w:val="22"/>
              </w:rPr>
              <w:t>Planning App. No:</w:t>
            </w:r>
          </w:p>
        </w:tc>
        <w:tc>
          <w:tcPr>
            <w:tcW w:w="3119" w:type="dxa"/>
            <w:vAlign w:val="center"/>
            <w:hideMark/>
          </w:tcPr>
          <w:p w14:paraId="4689B23D" w14:textId="77777777" w:rsidR="006411AF" w:rsidRDefault="006411AF" w:rsidP="00376CBD">
            <w:pPr>
              <w:pStyle w:val="Header"/>
              <w:tabs>
                <w:tab w:val="left" w:pos="720"/>
              </w:tabs>
              <w:spacing w:before="60" w:after="60"/>
              <w:rPr>
                <w:rFonts w:ascii="Arial" w:hAnsi="Arial" w:cs="Arial"/>
                <w:szCs w:val="22"/>
              </w:rPr>
            </w:pPr>
            <w:r>
              <w:rPr>
                <w:rFonts w:ascii="Arial" w:hAnsi="Arial" w:cs="Arial"/>
                <w:szCs w:val="22"/>
              </w:rPr>
              <w:t>22/00056/NEI</w:t>
            </w:r>
          </w:p>
        </w:tc>
        <w:tc>
          <w:tcPr>
            <w:tcW w:w="3973" w:type="dxa"/>
            <w:vAlign w:val="center"/>
            <w:hideMark/>
          </w:tcPr>
          <w:p w14:paraId="2B87ABAC" w14:textId="77777777" w:rsidR="006411AF" w:rsidRDefault="006411AF" w:rsidP="00376CBD">
            <w:pPr>
              <w:pStyle w:val="Header"/>
              <w:tabs>
                <w:tab w:val="left" w:pos="720"/>
              </w:tabs>
              <w:spacing w:before="60" w:after="60"/>
              <w:rPr>
                <w:rFonts w:ascii="Arial" w:hAnsi="Arial" w:cs="Arial"/>
                <w:szCs w:val="22"/>
              </w:rPr>
            </w:pPr>
            <w:r>
              <w:rPr>
                <w:rFonts w:ascii="Arial" w:hAnsi="Arial" w:cs="Arial"/>
                <w:szCs w:val="22"/>
              </w:rPr>
              <w:t>22/00494/PLANNI</w:t>
            </w:r>
          </w:p>
        </w:tc>
      </w:tr>
      <w:tr w:rsidR="00865BDA" w14:paraId="0375AFC8" w14:textId="77777777" w:rsidTr="00471332">
        <w:tc>
          <w:tcPr>
            <w:tcW w:w="2522" w:type="dxa"/>
            <w:hideMark/>
          </w:tcPr>
          <w:p w14:paraId="1DD9B985" w14:textId="77777777" w:rsidR="00865BDA" w:rsidRDefault="00865BDA" w:rsidP="00376CBD">
            <w:pPr>
              <w:pStyle w:val="Header"/>
              <w:tabs>
                <w:tab w:val="left" w:pos="720"/>
              </w:tabs>
              <w:spacing w:before="60" w:after="60"/>
              <w:rPr>
                <w:rFonts w:ascii="Arial" w:hAnsi="Arial" w:cs="Arial"/>
                <w:szCs w:val="22"/>
              </w:rPr>
            </w:pPr>
            <w:r>
              <w:rPr>
                <w:rFonts w:ascii="Arial" w:hAnsi="Arial" w:cs="Arial"/>
                <w:sz w:val="22"/>
                <w:szCs w:val="22"/>
              </w:rPr>
              <w:t>Date:</w:t>
            </w:r>
          </w:p>
        </w:tc>
        <w:tc>
          <w:tcPr>
            <w:tcW w:w="7092" w:type="dxa"/>
            <w:gridSpan w:val="2"/>
            <w:vAlign w:val="center"/>
            <w:hideMark/>
          </w:tcPr>
          <w:p w14:paraId="44AEDD89" w14:textId="67A41247" w:rsidR="00865BDA" w:rsidRDefault="00110BB4" w:rsidP="00376CBD">
            <w:pPr>
              <w:pStyle w:val="Header"/>
              <w:tabs>
                <w:tab w:val="left" w:pos="720"/>
              </w:tabs>
              <w:spacing w:before="60" w:after="60"/>
              <w:rPr>
                <w:rFonts w:ascii="Arial" w:hAnsi="Arial" w:cs="Arial"/>
                <w:szCs w:val="22"/>
              </w:rPr>
            </w:pPr>
            <w:r>
              <w:rPr>
                <w:rFonts w:ascii="Arial" w:hAnsi="Arial" w:cs="Arial"/>
                <w:szCs w:val="22"/>
              </w:rPr>
              <w:t>27 July</w:t>
            </w:r>
            <w:r w:rsidR="00865BDA">
              <w:rPr>
                <w:rFonts w:ascii="Arial" w:hAnsi="Arial" w:cs="Arial"/>
                <w:szCs w:val="22"/>
              </w:rPr>
              <w:t xml:space="preserve"> 2022</w:t>
            </w:r>
          </w:p>
        </w:tc>
      </w:tr>
      <w:tr w:rsidR="00865BDA" w14:paraId="55E36898" w14:textId="77777777" w:rsidTr="00471332">
        <w:tc>
          <w:tcPr>
            <w:tcW w:w="2522" w:type="dxa"/>
            <w:hideMark/>
          </w:tcPr>
          <w:p w14:paraId="54E54B6B" w14:textId="77777777" w:rsidR="00865BDA" w:rsidRDefault="00865BDA" w:rsidP="00376CBD">
            <w:pPr>
              <w:spacing w:before="60" w:after="60"/>
              <w:rPr>
                <w:szCs w:val="22"/>
              </w:rPr>
            </w:pPr>
            <w:r>
              <w:rPr>
                <w:sz w:val="22"/>
                <w:szCs w:val="22"/>
              </w:rPr>
              <w:t>Location:</w:t>
            </w:r>
          </w:p>
        </w:tc>
        <w:tc>
          <w:tcPr>
            <w:tcW w:w="7092" w:type="dxa"/>
            <w:gridSpan w:val="2"/>
            <w:hideMark/>
          </w:tcPr>
          <w:p w14:paraId="26E90EA4" w14:textId="7700158D" w:rsidR="00865BDA" w:rsidRDefault="003C60AF" w:rsidP="003E622D">
            <w:pPr>
              <w:spacing w:before="60" w:after="60"/>
              <w:rPr>
                <w:szCs w:val="22"/>
              </w:rPr>
            </w:pPr>
            <w:proofErr w:type="spellStart"/>
            <w:r>
              <w:rPr>
                <w:szCs w:val="22"/>
              </w:rPr>
              <w:t>Simonswood</w:t>
            </w:r>
            <w:proofErr w:type="spellEnd"/>
            <w:r>
              <w:rPr>
                <w:szCs w:val="22"/>
              </w:rPr>
              <w:t xml:space="preserve"> Industrial Estate, West Lancashire</w:t>
            </w:r>
            <w:r w:rsidR="001C4909" w:rsidRPr="001C4909">
              <w:rPr>
                <w:szCs w:val="22"/>
              </w:rPr>
              <w:t xml:space="preserve"> </w:t>
            </w:r>
          </w:p>
        </w:tc>
      </w:tr>
      <w:tr w:rsidR="00865BDA" w14:paraId="7AC33C19" w14:textId="77777777" w:rsidTr="00471332">
        <w:tc>
          <w:tcPr>
            <w:tcW w:w="2522" w:type="dxa"/>
            <w:hideMark/>
          </w:tcPr>
          <w:p w14:paraId="10305FD8" w14:textId="77777777" w:rsidR="00865BDA" w:rsidRDefault="00865BDA" w:rsidP="00376CBD">
            <w:pPr>
              <w:spacing w:before="60" w:after="60"/>
              <w:rPr>
                <w:szCs w:val="22"/>
              </w:rPr>
            </w:pPr>
            <w:r>
              <w:rPr>
                <w:sz w:val="22"/>
                <w:szCs w:val="22"/>
              </w:rPr>
              <w:t>Proposal:</w:t>
            </w:r>
          </w:p>
        </w:tc>
        <w:tc>
          <w:tcPr>
            <w:tcW w:w="7092" w:type="dxa"/>
            <w:gridSpan w:val="2"/>
            <w:hideMark/>
          </w:tcPr>
          <w:p w14:paraId="2AD9A608" w14:textId="15E2FDE4" w:rsidR="00865BDA" w:rsidRDefault="00865BDA" w:rsidP="00376CBD">
            <w:pPr>
              <w:spacing w:before="60" w:after="60"/>
              <w:rPr>
                <w:szCs w:val="22"/>
              </w:rPr>
            </w:pPr>
            <w:r>
              <w:rPr>
                <w:szCs w:val="22"/>
              </w:rPr>
              <w:t xml:space="preserve">DEMOLITION OF EXISTING BUILDING AND ERECTION OF </w:t>
            </w:r>
            <w:r w:rsidR="00110BB4">
              <w:rPr>
                <w:szCs w:val="22"/>
              </w:rPr>
              <w:t>PURPOSE-BUILT</w:t>
            </w:r>
            <w:r>
              <w:rPr>
                <w:szCs w:val="22"/>
              </w:rPr>
              <w:t xml:space="preserve"> BUILDING (AND ANCILLARY STRUCTURES) TO HOUSE HIGH TEMPERATURE TREATMENT FACILITY FOR THE MANAGEMENT OF MEDICAL WASTE.</w:t>
            </w:r>
          </w:p>
        </w:tc>
      </w:tr>
    </w:tbl>
    <w:p w14:paraId="2EE577F4" w14:textId="77777777" w:rsidR="002B50E7" w:rsidRDefault="002B50E7" w:rsidP="006411AF"/>
    <w:p w14:paraId="7361625F" w14:textId="462675E0" w:rsidR="0096728A" w:rsidRPr="0096728A" w:rsidRDefault="0096728A" w:rsidP="00961649">
      <w:pPr>
        <w:ind w:left="426" w:right="543"/>
        <w:jc w:val="both"/>
        <w:rPr>
          <w:b/>
        </w:rPr>
      </w:pPr>
      <w:r w:rsidRPr="0096728A">
        <w:rPr>
          <w:b/>
        </w:rPr>
        <w:t>Unable to support</w:t>
      </w:r>
      <w:r>
        <w:rPr>
          <w:b/>
        </w:rPr>
        <w:t xml:space="preserve"> the application</w:t>
      </w:r>
      <w:r w:rsidR="00843806">
        <w:rPr>
          <w:b/>
        </w:rPr>
        <w:t>.</w:t>
      </w:r>
    </w:p>
    <w:p w14:paraId="191B63C9" w14:textId="77777777" w:rsidR="0096728A" w:rsidRDefault="0096728A" w:rsidP="00961649">
      <w:pPr>
        <w:ind w:left="426" w:right="543"/>
        <w:jc w:val="both"/>
        <w:rPr>
          <w:bCs/>
        </w:rPr>
      </w:pPr>
    </w:p>
    <w:p w14:paraId="52E70B0C" w14:textId="4DEAAFCE" w:rsidR="001C2D4E" w:rsidRDefault="006C6EF7" w:rsidP="00961649">
      <w:pPr>
        <w:ind w:left="426" w:right="543"/>
        <w:jc w:val="both"/>
        <w:rPr>
          <w:bCs/>
        </w:rPr>
      </w:pPr>
      <w:r w:rsidRPr="006C6EF7">
        <w:rPr>
          <w:bCs/>
        </w:rPr>
        <w:t xml:space="preserve">Environmental Health has reviewed the </w:t>
      </w:r>
      <w:r w:rsidR="00110BB4">
        <w:rPr>
          <w:bCs/>
        </w:rPr>
        <w:t xml:space="preserve">updated </w:t>
      </w:r>
      <w:r w:rsidRPr="006C6EF7">
        <w:rPr>
          <w:bCs/>
        </w:rPr>
        <w:t>information submitted</w:t>
      </w:r>
      <w:r w:rsidR="001C2D4E">
        <w:rPr>
          <w:bCs/>
        </w:rPr>
        <w:t xml:space="preserve"> and</w:t>
      </w:r>
      <w:r w:rsidR="00F76528">
        <w:rPr>
          <w:bCs/>
        </w:rPr>
        <w:t xml:space="preserve"> we still</w:t>
      </w:r>
      <w:r w:rsidR="001C2D4E">
        <w:rPr>
          <w:bCs/>
        </w:rPr>
        <w:t xml:space="preserve"> have some concerns w</w:t>
      </w:r>
      <w:r w:rsidR="00F76528">
        <w:rPr>
          <w:bCs/>
        </w:rPr>
        <w:t>hich mean we cannot support the application in its current form</w:t>
      </w:r>
      <w:r w:rsidR="001C2D4E">
        <w:rPr>
          <w:bCs/>
        </w:rPr>
        <w:t>.</w:t>
      </w:r>
    </w:p>
    <w:p w14:paraId="7C4F1EA9" w14:textId="7021F8DA" w:rsidR="001C2D4E" w:rsidRDefault="001C2D4E" w:rsidP="00961649">
      <w:pPr>
        <w:ind w:left="426" w:right="543"/>
        <w:jc w:val="both"/>
        <w:rPr>
          <w:bCs/>
        </w:rPr>
      </w:pPr>
    </w:p>
    <w:p w14:paraId="57D9E92C" w14:textId="08E1AA07" w:rsidR="00110BB4" w:rsidRDefault="00110BB4" w:rsidP="00110BB4">
      <w:pPr>
        <w:ind w:left="426" w:right="543"/>
        <w:jc w:val="both"/>
        <w:rPr>
          <w:bCs/>
        </w:rPr>
      </w:pPr>
      <w:r>
        <w:rPr>
          <w:bCs/>
        </w:rPr>
        <w:t>We understand that the</w:t>
      </w:r>
      <w:r w:rsidRPr="006C6EF7">
        <w:rPr>
          <w:bCs/>
        </w:rPr>
        <w:t xml:space="preserve"> proposed development would require an environmental permit,</w:t>
      </w:r>
      <w:r>
        <w:rPr>
          <w:bCs/>
        </w:rPr>
        <w:t xml:space="preserve"> for the operation of a Small Waste Incineration Plant (SWIP) which would be</w:t>
      </w:r>
      <w:r w:rsidRPr="006C6EF7">
        <w:rPr>
          <w:bCs/>
        </w:rPr>
        <w:t xml:space="preserve"> regulated by West Lanc</w:t>
      </w:r>
      <w:r w:rsidR="003C60AF">
        <w:rPr>
          <w:bCs/>
        </w:rPr>
        <w:t>a</w:t>
      </w:r>
      <w:r w:rsidRPr="006C6EF7">
        <w:rPr>
          <w:bCs/>
        </w:rPr>
        <w:t>s</w:t>
      </w:r>
      <w:r w:rsidR="003C60AF">
        <w:rPr>
          <w:bCs/>
        </w:rPr>
        <w:t>hire Council</w:t>
      </w:r>
      <w:r w:rsidRPr="006C6EF7">
        <w:rPr>
          <w:bCs/>
        </w:rPr>
        <w:t>.</w:t>
      </w:r>
    </w:p>
    <w:p w14:paraId="5DD31147" w14:textId="77777777" w:rsidR="00110BB4" w:rsidRDefault="00110BB4" w:rsidP="00110BB4">
      <w:pPr>
        <w:ind w:left="426" w:right="543"/>
        <w:jc w:val="both"/>
        <w:rPr>
          <w:bCs/>
        </w:rPr>
      </w:pPr>
    </w:p>
    <w:p w14:paraId="054AB7E6" w14:textId="77777777" w:rsidR="00110BB4" w:rsidRDefault="00110BB4" w:rsidP="00110BB4">
      <w:pPr>
        <w:ind w:left="426" w:right="543"/>
        <w:jc w:val="both"/>
        <w:rPr>
          <w:bCs/>
        </w:rPr>
      </w:pPr>
      <w:r>
        <w:rPr>
          <w:bCs/>
        </w:rPr>
        <w:t>The type of process they are proposing to operate would be subject to stringent monitoring requirements and the process emissions, from the pyrolysis chamber, would be subject to high temperature.  To be specific the emissions must be exposed to a minimum temperature of 1100</w:t>
      </w:r>
      <w:r w:rsidRPr="006C6EF7">
        <w:rPr>
          <w:bCs/>
          <w:vertAlign w:val="superscript"/>
        </w:rPr>
        <w:t>o</w:t>
      </w:r>
      <w:r>
        <w:rPr>
          <w:bCs/>
        </w:rPr>
        <w:t>C for at least 2 seconds as required by the Industrial Emissions Directive.</w:t>
      </w:r>
    </w:p>
    <w:p w14:paraId="54FB56B7" w14:textId="77777777" w:rsidR="00110BB4" w:rsidRDefault="00110BB4" w:rsidP="00961649">
      <w:pPr>
        <w:ind w:left="426" w:right="543"/>
        <w:jc w:val="both"/>
        <w:rPr>
          <w:bCs/>
        </w:rPr>
      </w:pPr>
    </w:p>
    <w:p w14:paraId="2CA77E45" w14:textId="024BD0D0" w:rsidR="00110BB4" w:rsidRDefault="00110BB4" w:rsidP="00961649">
      <w:pPr>
        <w:ind w:left="426" w:right="543"/>
        <w:jc w:val="both"/>
        <w:rPr>
          <w:bCs/>
        </w:rPr>
      </w:pPr>
      <w:r>
        <w:rPr>
          <w:bCs/>
        </w:rPr>
        <w:t xml:space="preserve">Whilst extending the chimney to 26 metres will help with dispersion </w:t>
      </w:r>
      <w:r w:rsidR="00843806">
        <w:rPr>
          <w:bCs/>
        </w:rPr>
        <w:t xml:space="preserve">of the emissions, </w:t>
      </w:r>
      <w:r>
        <w:rPr>
          <w:bCs/>
        </w:rPr>
        <w:t xml:space="preserve">the assessment still shows results that we are not </w:t>
      </w:r>
      <w:r w:rsidR="00F76528">
        <w:rPr>
          <w:bCs/>
        </w:rPr>
        <w:t>satisfied</w:t>
      </w:r>
      <w:r>
        <w:rPr>
          <w:bCs/>
        </w:rPr>
        <w:t xml:space="preserve"> with.  This is with regards to </w:t>
      </w:r>
      <w:r w:rsidR="00F02C45">
        <w:rPr>
          <w:bCs/>
        </w:rPr>
        <w:t>C</w:t>
      </w:r>
      <w:r>
        <w:rPr>
          <w:bCs/>
        </w:rPr>
        <w:t>hromium VI</w:t>
      </w:r>
      <w:r w:rsidR="00A178AB">
        <w:rPr>
          <w:bCs/>
        </w:rPr>
        <w:t>,</w:t>
      </w:r>
      <w:r>
        <w:rPr>
          <w:bCs/>
        </w:rPr>
        <w:t xml:space="preserve"> and </w:t>
      </w:r>
      <w:r w:rsidR="00F76528">
        <w:rPr>
          <w:bCs/>
        </w:rPr>
        <w:t xml:space="preserve">we have previously commented on this. </w:t>
      </w:r>
    </w:p>
    <w:p w14:paraId="70854ED9" w14:textId="39A00319" w:rsidR="00110BB4" w:rsidRDefault="00110BB4" w:rsidP="00961649">
      <w:pPr>
        <w:ind w:left="426" w:right="543"/>
        <w:jc w:val="both"/>
        <w:rPr>
          <w:bCs/>
        </w:rPr>
      </w:pPr>
    </w:p>
    <w:p w14:paraId="4AA39BB1" w14:textId="6D9750F9" w:rsidR="00385915" w:rsidRDefault="00385915" w:rsidP="00D12B2A">
      <w:pPr>
        <w:ind w:left="426" w:right="543"/>
        <w:jc w:val="both"/>
        <w:rPr>
          <w:bCs/>
        </w:rPr>
      </w:pPr>
      <w:r>
        <w:rPr>
          <w:bCs/>
        </w:rPr>
        <w:t xml:space="preserve">We had previously raised concerns about </w:t>
      </w:r>
      <w:r w:rsidR="00364A1E">
        <w:rPr>
          <w:bCs/>
        </w:rPr>
        <w:t xml:space="preserve">the levels of </w:t>
      </w:r>
      <w:r w:rsidR="00F02C45">
        <w:rPr>
          <w:bCs/>
        </w:rPr>
        <w:t>H</w:t>
      </w:r>
      <w:r>
        <w:rPr>
          <w:bCs/>
        </w:rPr>
        <w:t xml:space="preserve">ydrogen </w:t>
      </w:r>
      <w:r w:rsidR="00F02C45">
        <w:rPr>
          <w:bCs/>
        </w:rPr>
        <w:t>F</w:t>
      </w:r>
      <w:r>
        <w:rPr>
          <w:bCs/>
        </w:rPr>
        <w:t>luoride</w:t>
      </w:r>
      <w:r w:rsidR="00364A1E">
        <w:rPr>
          <w:bCs/>
        </w:rPr>
        <w:t xml:space="preserve"> (and the impact on vegetation) and how the predicted level exceeded the weekly mean EAL</w:t>
      </w:r>
      <w:r w:rsidR="00A77EA7">
        <w:rPr>
          <w:bCs/>
        </w:rPr>
        <w:t xml:space="preserve"> (Environmental Assessment Level)</w:t>
      </w:r>
      <w:r w:rsidR="00364A1E">
        <w:rPr>
          <w:bCs/>
        </w:rPr>
        <w:t>, but not the daily mean</w:t>
      </w:r>
      <w:r>
        <w:rPr>
          <w:bCs/>
        </w:rPr>
        <w:t>.  Atkins have addressed this issue in their comments</w:t>
      </w:r>
      <w:r w:rsidR="00A77EA7">
        <w:rPr>
          <w:bCs/>
        </w:rPr>
        <w:t xml:space="preserve">, </w:t>
      </w:r>
      <w:r w:rsidR="00D12B2A">
        <w:rPr>
          <w:bCs/>
        </w:rPr>
        <w:t>stating that t</w:t>
      </w:r>
      <w:r w:rsidR="00D12B2A" w:rsidRPr="00D12B2A">
        <w:rPr>
          <w:bCs/>
        </w:rPr>
        <w:t>he E</w:t>
      </w:r>
      <w:r w:rsidR="00A77EA7">
        <w:rPr>
          <w:bCs/>
        </w:rPr>
        <w:t xml:space="preserve">nvironment </w:t>
      </w:r>
      <w:r w:rsidR="00D12B2A" w:rsidRPr="00D12B2A">
        <w:rPr>
          <w:bCs/>
        </w:rPr>
        <w:t>A</w:t>
      </w:r>
      <w:r w:rsidR="00A77EA7">
        <w:rPr>
          <w:bCs/>
        </w:rPr>
        <w:t>genc</w:t>
      </w:r>
      <w:r w:rsidR="003C60AF">
        <w:rPr>
          <w:bCs/>
        </w:rPr>
        <w:t>y’s</w:t>
      </w:r>
      <w:r w:rsidR="00A77EA7">
        <w:rPr>
          <w:bCs/>
        </w:rPr>
        <w:t xml:space="preserve"> (EA)</w:t>
      </w:r>
      <w:r w:rsidR="00D12B2A" w:rsidRPr="00D12B2A">
        <w:rPr>
          <w:bCs/>
        </w:rPr>
        <w:t xml:space="preserve"> approach to assessment against non</w:t>
      </w:r>
      <w:r w:rsidR="00D12B2A">
        <w:rPr>
          <w:bCs/>
        </w:rPr>
        <w:t>-</w:t>
      </w:r>
      <w:r w:rsidR="00D12B2A" w:rsidRPr="00D12B2A">
        <w:rPr>
          <w:bCs/>
        </w:rPr>
        <w:t>statutory critical levels is to ensure that the PC</w:t>
      </w:r>
      <w:r w:rsidR="00A77EA7">
        <w:rPr>
          <w:bCs/>
        </w:rPr>
        <w:t xml:space="preserve"> (process contribution)</w:t>
      </w:r>
      <w:r w:rsidR="00D12B2A" w:rsidRPr="00D12B2A">
        <w:rPr>
          <w:bCs/>
        </w:rPr>
        <w:t xml:space="preserve"> does not exceed 100% of the EAL</w:t>
      </w:r>
      <w:r w:rsidR="00D12B2A">
        <w:rPr>
          <w:bCs/>
        </w:rPr>
        <w:t>,</w:t>
      </w:r>
      <w:r w:rsidR="00D12B2A" w:rsidRPr="00D12B2A">
        <w:rPr>
          <w:bCs/>
        </w:rPr>
        <w:t xml:space="preserve"> which is considered to demonstrate BAT</w:t>
      </w:r>
      <w:r w:rsidR="00A77EA7">
        <w:rPr>
          <w:bCs/>
        </w:rPr>
        <w:t xml:space="preserve"> (Best Available Technique)</w:t>
      </w:r>
      <w:r w:rsidR="00D12B2A">
        <w:rPr>
          <w:bCs/>
        </w:rPr>
        <w:t xml:space="preserve">.  </w:t>
      </w:r>
      <w:r>
        <w:rPr>
          <w:bCs/>
        </w:rPr>
        <w:t xml:space="preserve"> </w:t>
      </w:r>
      <w:r w:rsidR="00D12B2A">
        <w:rPr>
          <w:bCs/>
        </w:rPr>
        <w:lastRenderedPageBreak/>
        <w:t>W</w:t>
      </w:r>
      <w:r>
        <w:rPr>
          <w:bCs/>
        </w:rPr>
        <w:t>e are satisfied with this response.  We would also expect HF to be monitored as part of the permit.</w:t>
      </w:r>
    </w:p>
    <w:p w14:paraId="580B3AB1" w14:textId="77777777" w:rsidR="00385915" w:rsidRDefault="00385915" w:rsidP="00961649">
      <w:pPr>
        <w:ind w:left="426" w:right="543"/>
        <w:jc w:val="both"/>
        <w:rPr>
          <w:bCs/>
        </w:rPr>
      </w:pPr>
    </w:p>
    <w:p w14:paraId="4EF4B66C" w14:textId="1BF9AD70" w:rsidR="006C6EF7" w:rsidRDefault="00A77EA7" w:rsidP="0096728A">
      <w:pPr>
        <w:ind w:left="426" w:right="543"/>
        <w:jc w:val="both"/>
        <w:rPr>
          <w:bCs/>
        </w:rPr>
      </w:pPr>
      <w:r>
        <w:rPr>
          <w:bCs/>
        </w:rPr>
        <w:t xml:space="preserve">Having </w:t>
      </w:r>
      <w:r w:rsidR="006C6EF7">
        <w:rPr>
          <w:bCs/>
        </w:rPr>
        <w:t>looked at the</w:t>
      </w:r>
      <w:r>
        <w:rPr>
          <w:bCs/>
        </w:rPr>
        <w:t xml:space="preserve"> updated</w:t>
      </w:r>
      <w:r w:rsidR="006C6EF7">
        <w:rPr>
          <w:bCs/>
        </w:rPr>
        <w:t xml:space="preserve"> air quality assessment / modellin</w:t>
      </w:r>
      <w:r>
        <w:rPr>
          <w:bCs/>
        </w:rPr>
        <w:t>g,</w:t>
      </w:r>
      <w:r w:rsidR="006C6EF7">
        <w:rPr>
          <w:bCs/>
        </w:rPr>
        <w:t xml:space="preserve"> </w:t>
      </w:r>
      <w:r w:rsidR="001C2D4E">
        <w:rPr>
          <w:bCs/>
        </w:rPr>
        <w:t xml:space="preserve">we have concerns with the assessment for </w:t>
      </w:r>
      <w:r w:rsidR="00F02C45">
        <w:rPr>
          <w:bCs/>
        </w:rPr>
        <w:t>C</w:t>
      </w:r>
      <w:r w:rsidR="001C2D4E">
        <w:rPr>
          <w:bCs/>
        </w:rPr>
        <w:t>hromium VI (</w:t>
      </w:r>
      <w:proofErr w:type="gramStart"/>
      <w:r w:rsidR="001C2D4E">
        <w:rPr>
          <w:bCs/>
        </w:rPr>
        <w:t>C</w:t>
      </w:r>
      <w:r w:rsidR="00170BB9">
        <w:rPr>
          <w:bCs/>
        </w:rPr>
        <w:t>r</w:t>
      </w:r>
      <w:r w:rsidR="001C2D4E">
        <w:rPr>
          <w:bCs/>
        </w:rPr>
        <w:t>(</w:t>
      </w:r>
      <w:proofErr w:type="gramEnd"/>
      <w:r w:rsidR="001C2D4E">
        <w:rPr>
          <w:bCs/>
        </w:rPr>
        <w:t xml:space="preserve">VI)).  The air quality assessment demonstrates that the contribution of </w:t>
      </w:r>
      <w:r w:rsidR="00995E2B">
        <w:rPr>
          <w:bCs/>
        </w:rPr>
        <w:t>the predicted environmental concentration (</w:t>
      </w:r>
      <w:r w:rsidR="001C2D4E">
        <w:rPr>
          <w:bCs/>
        </w:rPr>
        <w:t>PEC</w:t>
      </w:r>
      <w:r w:rsidR="00995E2B">
        <w:rPr>
          <w:bCs/>
        </w:rPr>
        <w:t>), when compared against the environmental standard (Environmental Assessment Levels</w:t>
      </w:r>
      <w:r w:rsidR="001C2D4E">
        <w:rPr>
          <w:bCs/>
        </w:rPr>
        <w:t xml:space="preserve"> </w:t>
      </w:r>
      <w:r w:rsidR="00995E2B">
        <w:rPr>
          <w:bCs/>
        </w:rPr>
        <w:t>(</w:t>
      </w:r>
      <w:r w:rsidR="001C2D4E">
        <w:rPr>
          <w:bCs/>
        </w:rPr>
        <w:t>EAL</w:t>
      </w:r>
      <w:r w:rsidR="00995E2B">
        <w:rPr>
          <w:bCs/>
        </w:rPr>
        <w:t>)),</w:t>
      </w:r>
      <w:r w:rsidR="001C2D4E">
        <w:rPr>
          <w:bCs/>
        </w:rPr>
        <w:t xml:space="preserve"> is over 100% for </w:t>
      </w:r>
      <w:proofErr w:type="gramStart"/>
      <w:r w:rsidR="001C2D4E">
        <w:rPr>
          <w:bCs/>
        </w:rPr>
        <w:t>Cr(</w:t>
      </w:r>
      <w:proofErr w:type="gramEnd"/>
      <w:r w:rsidR="001C2D4E">
        <w:rPr>
          <w:bCs/>
        </w:rPr>
        <w:t xml:space="preserve">VI) </w:t>
      </w:r>
      <w:r w:rsidR="0096728A">
        <w:rPr>
          <w:bCs/>
        </w:rPr>
        <w:t>(sensitive human receptors)</w:t>
      </w:r>
      <w:r w:rsidR="001C2D4E">
        <w:rPr>
          <w:bCs/>
        </w:rPr>
        <w:t xml:space="preserve"> in</w:t>
      </w:r>
      <w:r w:rsidR="00AB5C75">
        <w:rPr>
          <w:bCs/>
        </w:rPr>
        <w:t xml:space="preserve"> both West Lancs and</w:t>
      </w:r>
      <w:r w:rsidR="001C2D4E">
        <w:rPr>
          <w:bCs/>
        </w:rPr>
        <w:t xml:space="preserve"> Knowsley.</w:t>
      </w:r>
    </w:p>
    <w:p w14:paraId="342083DF" w14:textId="219C41CB" w:rsidR="006C6EF7" w:rsidRDefault="006C6EF7" w:rsidP="0096728A">
      <w:pPr>
        <w:ind w:left="426" w:right="543"/>
        <w:jc w:val="both"/>
        <w:rPr>
          <w:bCs/>
        </w:rPr>
      </w:pPr>
    </w:p>
    <w:p w14:paraId="02B42C62" w14:textId="16739B3E" w:rsidR="00AB5C75" w:rsidRPr="00AB5C75" w:rsidRDefault="00AB5C75" w:rsidP="0096728A">
      <w:pPr>
        <w:ind w:left="426" w:right="543"/>
        <w:jc w:val="both"/>
        <w:rPr>
          <w:bCs/>
        </w:rPr>
      </w:pPr>
      <w:r w:rsidRPr="00AB5C75">
        <w:rPr>
          <w:bCs/>
        </w:rPr>
        <w:t>Although the</w:t>
      </w:r>
      <w:r w:rsidR="00C928EA">
        <w:rPr>
          <w:bCs/>
        </w:rPr>
        <w:t>y predict that the</w:t>
      </w:r>
      <w:r w:rsidRPr="00AB5C75">
        <w:rPr>
          <w:bCs/>
        </w:rPr>
        <w:t xml:space="preserve"> process contribution </w:t>
      </w:r>
      <w:r w:rsidR="00C928EA">
        <w:rPr>
          <w:bCs/>
        </w:rPr>
        <w:t>will be</w:t>
      </w:r>
      <w:r w:rsidRPr="00AB5C75">
        <w:rPr>
          <w:bCs/>
        </w:rPr>
        <w:t xml:space="preserve"> less than the respective limit</w:t>
      </w:r>
      <w:r w:rsidR="002D6B1B">
        <w:rPr>
          <w:bCs/>
        </w:rPr>
        <w:t xml:space="preserve"> (Step 2 of the EA screening method)</w:t>
      </w:r>
      <w:r w:rsidRPr="00AB5C75">
        <w:rPr>
          <w:bCs/>
        </w:rPr>
        <w:t>, the modelling shows that with the combined background level</w:t>
      </w:r>
      <w:r w:rsidR="00C928EA">
        <w:rPr>
          <w:bCs/>
        </w:rPr>
        <w:t>s</w:t>
      </w:r>
      <w:r w:rsidRPr="00AB5C75">
        <w:rPr>
          <w:bCs/>
        </w:rPr>
        <w:t xml:space="preserve"> </w:t>
      </w:r>
      <w:r w:rsidR="0096728A">
        <w:rPr>
          <w:bCs/>
        </w:rPr>
        <w:t xml:space="preserve">there is an exceedance.  </w:t>
      </w:r>
      <w:r w:rsidRPr="00AB5C75">
        <w:rPr>
          <w:bCs/>
        </w:rPr>
        <w:t xml:space="preserve"> We cannot therefore support the application at this point if the emissions will raise the pollution levels further</w:t>
      </w:r>
      <w:r w:rsidR="00C928EA">
        <w:rPr>
          <w:bCs/>
        </w:rPr>
        <w:t xml:space="preserve"> above the </w:t>
      </w:r>
      <w:r w:rsidR="0096728A">
        <w:rPr>
          <w:bCs/>
        </w:rPr>
        <w:t>limit</w:t>
      </w:r>
      <w:r w:rsidR="00110BB4">
        <w:rPr>
          <w:bCs/>
        </w:rPr>
        <w:t>, when there is already an exceedance</w:t>
      </w:r>
      <w:r w:rsidR="00A77EA7">
        <w:rPr>
          <w:bCs/>
        </w:rPr>
        <w:t>,</w:t>
      </w:r>
      <w:r w:rsidR="00110BB4">
        <w:rPr>
          <w:bCs/>
        </w:rPr>
        <w:t xml:space="preserve"> no matter how small, </w:t>
      </w:r>
      <w:r w:rsidR="00C928EA">
        <w:rPr>
          <w:bCs/>
        </w:rPr>
        <w:t>whe</w:t>
      </w:r>
      <w:r w:rsidR="002D6B1B">
        <w:rPr>
          <w:bCs/>
        </w:rPr>
        <w:t>n it</w:t>
      </w:r>
      <w:r w:rsidR="00C928EA">
        <w:rPr>
          <w:bCs/>
        </w:rPr>
        <w:t xml:space="preserve"> is</w:t>
      </w:r>
      <w:r>
        <w:rPr>
          <w:bCs/>
        </w:rPr>
        <w:t xml:space="preserve"> with regards to the risk </w:t>
      </w:r>
      <w:r w:rsidR="002D6B1B">
        <w:rPr>
          <w:bCs/>
        </w:rPr>
        <w:t>to human</w:t>
      </w:r>
      <w:r>
        <w:rPr>
          <w:bCs/>
        </w:rPr>
        <w:t xml:space="preserve"> health</w:t>
      </w:r>
      <w:r w:rsidRPr="00AB5C75">
        <w:rPr>
          <w:bCs/>
        </w:rPr>
        <w:t>.</w:t>
      </w:r>
    </w:p>
    <w:p w14:paraId="551755EF" w14:textId="77777777" w:rsidR="00AB5C75" w:rsidRDefault="00AB5C75" w:rsidP="0096728A">
      <w:pPr>
        <w:ind w:left="426" w:right="543"/>
        <w:jc w:val="both"/>
        <w:rPr>
          <w:bCs/>
        </w:rPr>
      </w:pPr>
    </w:p>
    <w:p w14:paraId="6F88EBCA" w14:textId="61DF02B6" w:rsidR="00AB5C75" w:rsidRDefault="00AB5C75" w:rsidP="0096728A">
      <w:pPr>
        <w:ind w:left="426" w:right="543"/>
        <w:jc w:val="both"/>
        <w:rPr>
          <w:bCs/>
        </w:rPr>
      </w:pPr>
      <w:r w:rsidRPr="000B50FF">
        <w:rPr>
          <w:bCs/>
        </w:rPr>
        <w:t>I</w:t>
      </w:r>
      <w:r w:rsidR="00C928EA" w:rsidRPr="000B50FF">
        <w:rPr>
          <w:bCs/>
        </w:rPr>
        <w:t xml:space="preserve">t </w:t>
      </w:r>
      <w:r w:rsidR="00843806" w:rsidRPr="000B50FF">
        <w:rPr>
          <w:bCs/>
        </w:rPr>
        <w:t>may be</w:t>
      </w:r>
      <w:r w:rsidR="00C928EA" w:rsidRPr="000B50FF">
        <w:rPr>
          <w:bCs/>
        </w:rPr>
        <w:t xml:space="preserve"> the case that the modelled exceedance is</w:t>
      </w:r>
      <w:r w:rsidRPr="000B50FF">
        <w:rPr>
          <w:bCs/>
        </w:rPr>
        <w:t xml:space="preserve"> due to the background level used not being accurate for the area, given</w:t>
      </w:r>
      <w:r w:rsidR="00C928EA" w:rsidRPr="000B50FF">
        <w:rPr>
          <w:bCs/>
        </w:rPr>
        <w:t xml:space="preserve"> that there is no site-specific data available</w:t>
      </w:r>
      <w:r w:rsidR="0096728A">
        <w:rPr>
          <w:bCs/>
        </w:rPr>
        <w:t xml:space="preserve"> (as stated in the assessment)</w:t>
      </w:r>
      <w:r w:rsidR="002D6B1B">
        <w:rPr>
          <w:bCs/>
        </w:rPr>
        <w:t xml:space="preserve">, </w:t>
      </w:r>
      <w:r w:rsidR="00A77EA7">
        <w:rPr>
          <w:bCs/>
        </w:rPr>
        <w:t>however</w:t>
      </w:r>
      <w:r w:rsidR="002D6B1B">
        <w:rPr>
          <w:bCs/>
        </w:rPr>
        <w:t>,</w:t>
      </w:r>
      <w:r w:rsidR="00843806">
        <w:rPr>
          <w:bCs/>
        </w:rPr>
        <w:t xml:space="preserve"> as detailed in our previous comments, to progress with the application, we suggested </w:t>
      </w:r>
      <w:r w:rsidR="00C928EA" w:rsidRPr="000B50FF">
        <w:rPr>
          <w:bCs/>
        </w:rPr>
        <w:t>that some real time monitoring, at the proposed site, for HF and CR(VI) is carried out</w:t>
      </w:r>
      <w:r w:rsidR="0096728A">
        <w:rPr>
          <w:bCs/>
        </w:rPr>
        <w:t>,</w:t>
      </w:r>
      <w:r w:rsidR="00C928EA" w:rsidRPr="000B50FF">
        <w:rPr>
          <w:bCs/>
        </w:rPr>
        <w:t xml:space="preserve"> </w:t>
      </w:r>
      <w:r w:rsidR="000B50FF" w:rsidRPr="000B50FF">
        <w:rPr>
          <w:bCs/>
        </w:rPr>
        <w:t>and then the assessment for</w:t>
      </w:r>
      <w:r w:rsidR="00A77EA7">
        <w:rPr>
          <w:bCs/>
        </w:rPr>
        <w:t xml:space="preserve"> Cr(VI)</w:t>
      </w:r>
      <w:r w:rsidR="000B50FF" w:rsidRPr="000B50FF">
        <w:rPr>
          <w:bCs/>
        </w:rPr>
        <w:t xml:space="preserve"> repeated using this data.  </w:t>
      </w:r>
      <w:r w:rsidRPr="000B50FF">
        <w:rPr>
          <w:bCs/>
        </w:rPr>
        <w:t xml:space="preserve"> </w:t>
      </w:r>
    </w:p>
    <w:p w14:paraId="7C406BED" w14:textId="138D2849" w:rsidR="00720808" w:rsidRPr="00720808" w:rsidRDefault="00720808" w:rsidP="00AB5C75">
      <w:pPr>
        <w:ind w:left="426" w:right="543"/>
        <w:rPr>
          <w:bCs/>
        </w:rPr>
      </w:pPr>
    </w:p>
    <w:p w14:paraId="294F4699" w14:textId="452AC596" w:rsidR="00720808" w:rsidRPr="00720808" w:rsidRDefault="00720808" w:rsidP="00AB5C75">
      <w:pPr>
        <w:ind w:left="426" w:right="543"/>
        <w:rPr>
          <w:bCs/>
        </w:rPr>
      </w:pPr>
      <w:r w:rsidRPr="00720808">
        <w:rPr>
          <w:bCs/>
        </w:rPr>
        <w:t xml:space="preserve">Atkins state that real time monitoring for </w:t>
      </w:r>
      <w:proofErr w:type="gramStart"/>
      <w:r w:rsidRPr="00720808">
        <w:rPr>
          <w:bCs/>
        </w:rPr>
        <w:t>Cr(</w:t>
      </w:r>
      <w:proofErr w:type="gramEnd"/>
      <w:r w:rsidRPr="00720808">
        <w:rPr>
          <w:bCs/>
        </w:rPr>
        <w:t>VI) is not considered proportionate to the risk.  However, we disagree</w:t>
      </w:r>
      <w:r w:rsidR="001B5DA7">
        <w:rPr>
          <w:bCs/>
        </w:rPr>
        <w:t xml:space="preserve"> </w:t>
      </w:r>
      <w:r w:rsidR="002D6B1B">
        <w:rPr>
          <w:bCs/>
        </w:rPr>
        <w:t xml:space="preserve">and believe an accurate </w:t>
      </w:r>
      <w:proofErr w:type="gramStart"/>
      <w:r w:rsidR="002D6B1B">
        <w:rPr>
          <w:bCs/>
        </w:rPr>
        <w:t>Cr(</w:t>
      </w:r>
      <w:proofErr w:type="gramEnd"/>
      <w:r w:rsidR="002D6B1B">
        <w:rPr>
          <w:bCs/>
        </w:rPr>
        <w:t xml:space="preserve">VI) background level </w:t>
      </w:r>
      <w:r w:rsidR="00A77EA7">
        <w:rPr>
          <w:bCs/>
        </w:rPr>
        <w:t>should be</w:t>
      </w:r>
      <w:r w:rsidR="002D6B1B">
        <w:rPr>
          <w:bCs/>
        </w:rPr>
        <w:t xml:space="preserve"> obtained</w:t>
      </w:r>
      <w:r w:rsidRPr="00720808">
        <w:rPr>
          <w:bCs/>
        </w:rPr>
        <w:t>.</w:t>
      </w:r>
    </w:p>
    <w:p w14:paraId="38999B02" w14:textId="77777777" w:rsidR="002D6B1B" w:rsidRDefault="002D6B1B" w:rsidP="00AB5C75">
      <w:pPr>
        <w:ind w:left="426" w:right="543"/>
        <w:rPr>
          <w:bCs/>
        </w:rPr>
      </w:pPr>
    </w:p>
    <w:p w14:paraId="61C55C74" w14:textId="66D8504B" w:rsidR="00843806" w:rsidRDefault="0029121F" w:rsidP="0029121F">
      <w:pPr>
        <w:ind w:left="426" w:right="543"/>
        <w:jc w:val="both"/>
        <w:rPr>
          <w:bCs/>
        </w:rPr>
      </w:pPr>
      <w:r>
        <w:rPr>
          <w:bCs/>
        </w:rPr>
        <w:t xml:space="preserve">I </w:t>
      </w:r>
      <w:r w:rsidR="00F76528">
        <w:rPr>
          <w:bCs/>
        </w:rPr>
        <w:t xml:space="preserve">previously </w:t>
      </w:r>
      <w:r>
        <w:rPr>
          <w:bCs/>
        </w:rPr>
        <w:t>quer</w:t>
      </w:r>
      <w:r w:rsidR="00F76528">
        <w:rPr>
          <w:bCs/>
        </w:rPr>
        <w:t>ied</w:t>
      </w:r>
      <w:r>
        <w:rPr>
          <w:bCs/>
        </w:rPr>
        <w:t xml:space="preserve"> why the</w:t>
      </w:r>
      <w:r w:rsidR="00720808">
        <w:rPr>
          <w:bCs/>
        </w:rPr>
        <w:t xml:space="preserve"> air quality data between</w:t>
      </w:r>
      <w:r>
        <w:rPr>
          <w:bCs/>
        </w:rPr>
        <w:t xml:space="preserve"> 2013 to 2017 </w:t>
      </w:r>
      <w:r w:rsidR="00720808">
        <w:rPr>
          <w:bCs/>
        </w:rPr>
        <w:t xml:space="preserve">had been used </w:t>
      </w:r>
      <w:r>
        <w:rPr>
          <w:bCs/>
        </w:rPr>
        <w:t xml:space="preserve">in the assessment, given we are in 2022.  Understandably the levels in 2020 and 2021 may not be considered representative, due to Covid, but 2019 data </w:t>
      </w:r>
      <w:r w:rsidR="00720808">
        <w:rPr>
          <w:bCs/>
        </w:rPr>
        <w:t>co</w:t>
      </w:r>
      <w:r>
        <w:rPr>
          <w:bCs/>
        </w:rPr>
        <w:t>uld have been used.</w:t>
      </w:r>
      <w:r w:rsidR="00843806">
        <w:rPr>
          <w:bCs/>
        </w:rPr>
        <w:t xml:space="preserve">  </w:t>
      </w:r>
    </w:p>
    <w:p w14:paraId="10A5A4C7" w14:textId="77777777" w:rsidR="00843806" w:rsidRDefault="00843806" w:rsidP="0029121F">
      <w:pPr>
        <w:ind w:left="426" w:right="543"/>
        <w:jc w:val="both"/>
        <w:rPr>
          <w:bCs/>
        </w:rPr>
      </w:pPr>
    </w:p>
    <w:p w14:paraId="589580DF" w14:textId="524B32BC" w:rsidR="00843806" w:rsidRDefault="00843806" w:rsidP="0029121F">
      <w:pPr>
        <w:ind w:left="426" w:right="543"/>
        <w:jc w:val="both"/>
        <w:rPr>
          <w:bCs/>
        </w:rPr>
      </w:pPr>
      <w:r>
        <w:rPr>
          <w:bCs/>
        </w:rPr>
        <w:t xml:space="preserve">The report also refers to the continuous monitor we had in </w:t>
      </w:r>
      <w:proofErr w:type="spellStart"/>
      <w:r>
        <w:rPr>
          <w:bCs/>
        </w:rPr>
        <w:t>Briery</w:t>
      </w:r>
      <w:proofErr w:type="spellEnd"/>
      <w:r>
        <w:rPr>
          <w:bCs/>
        </w:rPr>
        <w:t xml:space="preserve"> Hey, Kirkby.  Whilst this was decommissioned in 2017, a new continuous monitoring station was set up in 2019 at the junction of County Road / Old Rough Lane</w:t>
      </w:r>
      <w:r w:rsidR="00444453">
        <w:rPr>
          <w:bCs/>
        </w:rPr>
        <w:t>,</w:t>
      </w:r>
      <w:r>
        <w:rPr>
          <w:bCs/>
        </w:rPr>
        <w:t xml:space="preserve"> and we have results for this.  </w:t>
      </w:r>
      <w:r w:rsidR="00444453">
        <w:rPr>
          <w:bCs/>
        </w:rPr>
        <w:t>In their report t</w:t>
      </w:r>
      <w:r>
        <w:rPr>
          <w:bCs/>
        </w:rPr>
        <w:t xml:space="preserve">hey </w:t>
      </w:r>
      <w:r w:rsidR="00444453">
        <w:rPr>
          <w:bCs/>
        </w:rPr>
        <w:t>refer</w:t>
      </w:r>
      <w:r>
        <w:rPr>
          <w:bCs/>
        </w:rPr>
        <w:t xml:space="preserve"> to </w:t>
      </w:r>
      <w:r w:rsidR="00444453">
        <w:rPr>
          <w:bCs/>
        </w:rPr>
        <w:t xml:space="preserve">reviewing </w:t>
      </w:r>
      <w:r>
        <w:rPr>
          <w:bCs/>
        </w:rPr>
        <w:t>the 2020 ASR</w:t>
      </w:r>
      <w:r w:rsidR="00A77EA7">
        <w:rPr>
          <w:bCs/>
        </w:rPr>
        <w:t>,</w:t>
      </w:r>
      <w:r>
        <w:rPr>
          <w:bCs/>
        </w:rPr>
        <w:t xml:space="preserve"> this would have included the new monitoring station.</w:t>
      </w:r>
    </w:p>
    <w:p w14:paraId="46CD472B" w14:textId="77777777" w:rsidR="00843806" w:rsidRDefault="00843806" w:rsidP="0029121F">
      <w:pPr>
        <w:ind w:left="426" w:right="543"/>
        <w:jc w:val="both"/>
        <w:rPr>
          <w:bCs/>
        </w:rPr>
      </w:pPr>
    </w:p>
    <w:p w14:paraId="07E75953" w14:textId="0439FA5C" w:rsidR="004A2AF4" w:rsidRDefault="00843806" w:rsidP="0029121F">
      <w:pPr>
        <w:ind w:left="426" w:right="543"/>
        <w:jc w:val="both"/>
        <w:rPr>
          <w:bCs/>
        </w:rPr>
      </w:pPr>
      <w:r>
        <w:rPr>
          <w:bCs/>
        </w:rPr>
        <w:t>They also mention they had no access to historical data for nitrogen oxides, whilst I cannot find any data from the old station,</w:t>
      </w:r>
      <w:r w:rsidR="008B5742">
        <w:rPr>
          <w:bCs/>
        </w:rPr>
        <w:t xml:space="preserve"> pre</w:t>
      </w:r>
      <w:r w:rsidR="00E165A0">
        <w:rPr>
          <w:bCs/>
        </w:rPr>
        <w:t>-</w:t>
      </w:r>
      <w:r w:rsidR="008B5742">
        <w:rPr>
          <w:bCs/>
        </w:rPr>
        <w:t>2017,</w:t>
      </w:r>
      <w:r>
        <w:rPr>
          <w:bCs/>
        </w:rPr>
        <w:t xml:space="preserve"> we</w:t>
      </w:r>
      <w:r w:rsidR="00720808">
        <w:rPr>
          <w:bCs/>
        </w:rPr>
        <w:t xml:space="preserve"> do</w:t>
      </w:r>
      <w:r>
        <w:rPr>
          <w:bCs/>
        </w:rPr>
        <w:t xml:space="preserve"> have some nitrogen oxide levels for the new one that was in operation</w:t>
      </w:r>
      <w:r w:rsidR="008B5742">
        <w:rPr>
          <w:bCs/>
        </w:rPr>
        <w:t>, post</w:t>
      </w:r>
      <w:r w:rsidR="00E165A0">
        <w:rPr>
          <w:bCs/>
        </w:rPr>
        <w:t>-</w:t>
      </w:r>
      <w:r w:rsidR="008B5742">
        <w:rPr>
          <w:bCs/>
        </w:rPr>
        <w:t>2019</w:t>
      </w:r>
      <w:r>
        <w:rPr>
          <w:bCs/>
        </w:rPr>
        <w:t xml:space="preserve">.  It ceased operating in October 2021. </w:t>
      </w:r>
    </w:p>
    <w:sectPr w:rsidR="004A2AF4" w:rsidSect="00865BD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E83A" w14:textId="77777777" w:rsidR="00602224" w:rsidRDefault="00602224" w:rsidP="00735B00">
      <w:r>
        <w:separator/>
      </w:r>
    </w:p>
  </w:endnote>
  <w:endnote w:type="continuationSeparator" w:id="0">
    <w:p w14:paraId="6EDBA3DB" w14:textId="77777777" w:rsidR="00602224" w:rsidRDefault="00602224" w:rsidP="0073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C2EA" w14:textId="77777777" w:rsidR="00735B00" w:rsidRDefault="00735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78AD" w14:textId="043B5EA6" w:rsidR="00735B00" w:rsidRDefault="00E44D3F">
    <w:pPr>
      <w:pStyle w:val="Footer"/>
    </w:pPr>
    <w:r w:rsidRPr="00310614">
      <w:rPr>
        <w:noProof/>
      </w:rPr>
      <w:drawing>
        <wp:inline distT="0" distB="0" distL="0" distR="0" wp14:anchorId="71EE737A" wp14:editId="6056FD2C">
          <wp:extent cx="5886450" cy="80962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0" cy="8096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6073" w14:textId="77777777" w:rsidR="00735B00" w:rsidRDefault="00735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7B41" w14:textId="77777777" w:rsidR="00602224" w:rsidRDefault="00602224" w:rsidP="00735B00">
      <w:r>
        <w:separator/>
      </w:r>
    </w:p>
  </w:footnote>
  <w:footnote w:type="continuationSeparator" w:id="0">
    <w:p w14:paraId="79A44BE6" w14:textId="77777777" w:rsidR="00602224" w:rsidRDefault="00602224" w:rsidP="00735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8840" w14:textId="77777777" w:rsidR="00735B00" w:rsidRDefault="00735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236E" w14:textId="77777777" w:rsidR="00735B00" w:rsidRDefault="00735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E373" w14:textId="77777777" w:rsidR="00735B00" w:rsidRDefault="00735B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BDA"/>
    <w:rsid w:val="000B0E5C"/>
    <w:rsid w:val="000B50FF"/>
    <w:rsid w:val="00100AFF"/>
    <w:rsid w:val="00110BB4"/>
    <w:rsid w:val="001625E5"/>
    <w:rsid w:val="00170BB9"/>
    <w:rsid w:val="001868E1"/>
    <w:rsid w:val="001B5DA7"/>
    <w:rsid w:val="001C2D4E"/>
    <w:rsid w:val="001C4909"/>
    <w:rsid w:val="00201813"/>
    <w:rsid w:val="00287979"/>
    <w:rsid w:val="0029121F"/>
    <w:rsid w:val="002B50E7"/>
    <w:rsid w:val="002D6B1B"/>
    <w:rsid w:val="00310614"/>
    <w:rsid w:val="00320634"/>
    <w:rsid w:val="00364A1E"/>
    <w:rsid w:val="00376CBD"/>
    <w:rsid w:val="003844E7"/>
    <w:rsid w:val="00385915"/>
    <w:rsid w:val="00394BE4"/>
    <w:rsid w:val="003C60AF"/>
    <w:rsid w:val="003E622D"/>
    <w:rsid w:val="00444453"/>
    <w:rsid w:val="00471332"/>
    <w:rsid w:val="0047762C"/>
    <w:rsid w:val="004A2AF4"/>
    <w:rsid w:val="00544E93"/>
    <w:rsid w:val="00590C61"/>
    <w:rsid w:val="00602224"/>
    <w:rsid w:val="0062463A"/>
    <w:rsid w:val="006411AF"/>
    <w:rsid w:val="0064480D"/>
    <w:rsid w:val="00645583"/>
    <w:rsid w:val="00656ACB"/>
    <w:rsid w:val="00682E32"/>
    <w:rsid w:val="006932F6"/>
    <w:rsid w:val="006C508B"/>
    <w:rsid w:val="006C6EF7"/>
    <w:rsid w:val="006F7C7A"/>
    <w:rsid w:val="00714883"/>
    <w:rsid w:val="00717B35"/>
    <w:rsid w:val="00720808"/>
    <w:rsid w:val="00735B00"/>
    <w:rsid w:val="007664AE"/>
    <w:rsid w:val="007A3962"/>
    <w:rsid w:val="007C1CB2"/>
    <w:rsid w:val="00801D6E"/>
    <w:rsid w:val="00816336"/>
    <w:rsid w:val="00822D39"/>
    <w:rsid w:val="00843806"/>
    <w:rsid w:val="00865BDA"/>
    <w:rsid w:val="008B5742"/>
    <w:rsid w:val="00951C36"/>
    <w:rsid w:val="00961649"/>
    <w:rsid w:val="0096728A"/>
    <w:rsid w:val="0097692C"/>
    <w:rsid w:val="00995E2B"/>
    <w:rsid w:val="00A178AB"/>
    <w:rsid w:val="00A77EA7"/>
    <w:rsid w:val="00A874F9"/>
    <w:rsid w:val="00AB5C75"/>
    <w:rsid w:val="00AE4A10"/>
    <w:rsid w:val="00B41956"/>
    <w:rsid w:val="00B44AA0"/>
    <w:rsid w:val="00B60AE7"/>
    <w:rsid w:val="00B92FC2"/>
    <w:rsid w:val="00BB5889"/>
    <w:rsid w:val="00C928EA"/>
    <w:rsid w:val="00D12B2A"/>
    <w:rsid w:val="00D34437"/>
    <w:rsid w:val="00D470E3"/>
    <w:rsid w:val="00DB4BE3"/>
    <w:rsid w:val="00DE55F4"/>
    <w:rsid w:val="00E165A0"/>
    <w:rsid w:val="00E44D3F"/>
    <w:rsid w:val="00E91AE0"/>
    <w:rsid w:val="00F02C45"/>
    <w:rsid w:val="00F50F91"/>
    <w:rsid w:val="00F76528"/>
    <w:rsid w:val="00FE6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00989"/>
  <w14:defaultImageDpi w14:val="0"/>
  <w15:docId w15:val="{C775860D-2FAC-4F3F-9D85-3A2AC939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634"/>
    <w:pPr>
      <w:spacing w:after="0" w:line="240" w:lineRule="auto"/>
    </w:pPr>
    <w:rPr>
      <w:rFonts w:ascii="Arial" w:hAnsi="Arial" w:cs="Arial"/>
      <w:sz w:val="24"/>
      <w:szCs w:val="24"/>
    </w:rPr>
  </w:style>
  <w:style w:type="paragraph" w:styleId="Heading2">
    <w:name w:val="heading 2"/>
    <w:basedOn w:val="Normal"/>
    <w:next w:val="Normal"/>
    <w:link w:val="Heading2Char"/>
    <w:uiPriority w:val="9"/>
    <w:semiHidden/>
    <w:unhideWhenUsed/>
    <w:qFormat/>
    <w:rsid w:val="00865BDA"/>
    <w:pPr>
      <w:keepNext/>
      <w:outlineLvl w:val="1"/>
    </w:pPr>
    <w:rPr>
      <w:rFonts w:cs="Times New Roman"/>
      <w:sz w:val="4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865BDA"/>
    <w:rPr>
      <w:rFonts w:ascii="Arial" w:hAnsi="Arial" w:cs="Times New Roman"/>
      <w:sz w:val="20"/>
      <w:szCs w:val="20"/>
      <w:lang w:val="x-none" w:eastAsia="en-US"/>
    </w:rPr>
  </w:style>
  <w:style w:type="paragraph" w:styleId="Header">
    <w:name w:val="header"/>
    <w:basedOn w:val="Normal"/>
    <w:link w:val="HeaderChar"/>
    <w:uiPriority w:val="99"/>
    <w:unhideWhenUsed/>
    <w:rsid w:val="00865BDA"/>
    <w:pPr>
      <w:tabs>
        <w:tab w:val="center" w:pos="4153"/>
        <w:tab w:val="right" w:pos="8306"/>
      </w:tabs>
    </w:pPr>
    <w:rPr>
      <w:rFonts w:ascii="Times New Roman" w:hAnsi="Times New Roman" w:cs="Times New Roman"/>
      <w:szCs w:val="20"/>
      <w:lang w:eastAsia="en-US"/>
    </w:rPr>
  </w:style>
  <w:style w:type="character" w:customStyle="1" w:styleId="HeaderChar">
    <w:name w:val="Header Char"/>
    <w:basedOn w:val="DefaultParagraphFont"/>
    <w:link w:val="Header"/>
    <w:uiPriority w:val="99"/>
    <w:locked/>
    <w:rsid w:val="00865BDA"/>
    <w:rPr>
      <w:rFonts w:cs="Times New Roman"/>
      <w:sz w:val="20"/>
      <w:szCs w:val="20"/>
      <w:lang w:val="x-none" w:eastAsia="en-US"/>
    </w:rPr>
  </w:style>
  <w:style w:type="paragraph" w:styleId="Footer">
    <w:name w:val="footer"/>
    <w:basedOn w:val="Normal"/>
    <w:link w:val="FooterChar"/>
    <w:uiPriority w:val="99"/>
    <w:unhideWhenUsed/>
    <w:rsid w:val="00735B00"/>
    <w:pPr>
      <w:tabs>
        <w:tab w:val="center" w:pos="4513"/>
        <w:tab w:val="right" w:pos="9026"/>
      </w:tabs>
    </w:pPr>
  </w:style>
  <w:style w:type="character" w:customStyle="1" w:styleId="FooterChar">
    <w:name w:val="Footer Char"/>
    <w:basedOn w:val="DefaultParagraphFont"/>
    <w:link w:val="Footer"/>
    <w:uiPriority w:val="99"/>
    <w:locked/>
    <w:rsid w:val="00735B0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0643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dc:creator>
  <cp:keywords/>
  <dc:description/>
  <cp:lastModifiedBy>Kilroe, Alan</cp:lastModifiedBy>
  <cp:revision>2</cp:revision>
  <dcterms:created xsi:type="dcterms:W3CDTF">2022-07-28T12:10:00Z</dcterms:created>
  <dcterms:modified xsi:type="dcterms:W3CDTF">2022-07-28T12:10:00Z</dcterms:modified>
</cp:coreProperties>
</file>